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50" w:rsidRDefault="00257D2B" w:rsidP="008F405F">
      <w:pPr>
        <w:jc w:val="center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-</w:t>
      </w:r>
      <w:r w:rsidR="008F405F">
        <w:rPr>
          <w:rFonts w:cs="Arial"/>
          <w:b w:val="0"/>
          <w:i w:val="0"/>
        </w:rPr>
        <w:t>2-</w:t>
      </w:r>
    </w:p>
    <w:p w:rsidR="00257D2B" w:rsidRPr="007C2A0F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 w:rsidRPr="007C2A0F">
        <w:rPr>
          <w:rFonts w:cs="Arial"/>
          <w:b w:val="0"/>
          <w:bCs/>
          <w:i w:val="0"/>
        </w:rPr>
        <w:t>(2)Kupac je dužan kupoprodajnu cijenu nekretnina iz člana 1.ove Odluke uplatiti u cijelom iznosu na depozitni rač</w:t>
      </w:r>
      <w:r w:rsidR="008F405F">
        <w:rPr>
          <w:rFonts w:cs="Arial"/>
          <w:b w:val="0"/>
          <w:bCs/>
          <w:i w:val="0"/>
        </w:rPr>
        <w:t>un općine Ključ najkasnije u rok</w:t>
      </w:r>
      <w:r w:rsidRPr="007C2A0F">
        <w:rPr>
          <w:rFonts w:cs="Arial"/>
          <w:b w:val="0"/>
          <w:bCs/>
          <w:i w:val="0"/>
        </w:rPr>
        <w:t>u od 7(sedam) dana od datuma kada ga prodavac pismenim putem pozove da to učini, s tim da se iznos uplaćene kapare uračunava u postignutu prodajnu cijenu.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V</w:t>
      </w:r>
    </w:p>
    <w:p w:rsidR="008F405F" w:rsidRPr="007C2A0F" w:rsidRDefault="008F405F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 w:rsidRPr="007C2A0F">
        <w:rPr>
          <w:rFonts w:cs="Arial"/>
          <w:b w:val="0"/>
          <w:bCs/>
          <w:i w:val="0"/>
        </w:rPr>
        <w:t>Vrijeme i način predaje nekretnina u posjed kupcu će biti regulisano Ugovorom o prodaji nekretnina.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VI</w:t>
      </w:r>
    </w:p>
    <w:p w:rsidR="008F405F" w:rsidRDefault="008F405F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Javno otvaranje ponuda i postupak licit</w:t>
      </w:r>
      <w:r w:rsidR="00FC4D50">
        <w:rPr>
          <w:rFonts w:cs="Arial"/>
          <w:b w:val="0"/>
          <w:bCs/>
          <w:i w:val="0"/>
        </w:rPr>
        <w:t xml:space="preserve">acije provest će se dana </w:t>
      </w:r>
      <w:r w:rsidR="0038777A">
        <w:rPr>
          <w:rFonts w:cs="Arial"/>
          <w:b w:val="0"/>
          <w:bCs/>
          <w:i w:val="0"/>
        </w:rPr>
        <w:t>11</w:t>
      </w:r>
      <w:r w:rsidR="003C7050">
        <w:rPr>
          <w:rFonts w:cs="Arial"/>
          <w:b w:val="0"/>
          <w:bCs/>
          <w:i w:val="0"/>
        </w:rPr>
        <w:t>.07</w:t>
      </w:r>
      <w:r w:rsidR="008F405F">
        <w:rPr>
          <w:rFonts w:cs="Arial"/>
          <w:b w:val="0"/>
          <w:bCs/>
          <w:i w:val="0"/>
        </w:rPr>
        <w:t>.2022</w:t>
      </w:r>
      <w:r w:rsidR="00F43D97">
        <w:rPr>
          <w:rFonts w:cs="Arial"/>
          <w:b w:val="0"/>
          <w:bCs/>
          <w:i w:val="0"/>
        </w:rPr>
        <w:t xml:space="preserve">.godine u </w:t>
      </w:r>
      <w:r w:rsidR="003C7050">
        <w:rPr>
          <w:rFonts w:cs="Arial"/>
          <w:b w:val="0"/>
          <w:bCs/>
          <w:i w:val="0"/>
        </w:rPr>
        <w:t>11,00</w:t>
      </w:r>
      <w:r w:rsidR="00F43D97">
        <w:rPr>
          <w:rFonts w:cs="Arial"/>
          <w:b w:val="0"/>
          <w:bCs/>
          <w:i w:val="0"/>
        </w:rPr>
        <w:t xml:space="preserve"> </w:t>
      </w:r>
      <w:r>
        <w:rPr>
          <w:rFonts w:cs="Arial"/>
          <w:b w:val="0"/>
          <w:bCs/>
          <w:i w:val="0"/>
        </w:rPr>
        <w:t>sati u prostorijama Općine Ključ, kancelarija broj 25.(sala za sastanke) adresa Branilaca BiH broj 78 Ključ, uz prisustvo ponuđača koji žele da prisustvuju otvaranju i postupku licitacije.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VII</w:t>
      </w:r>
    </w:p>
    <w:p w:rsidR="008F405F" w:rsidRDefault="008F405F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Nekretnine koje su predmet prodaje, zemljišnoknjižna i druga dokumentacija koja se odnosi na nekretnine, može se razgledati u prisustvu ovlaštenog lica ispred Općine Ključ svakim radnim danom od 8,00 do 15,00 sati.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VIII</w:t>
      </w:r>
    </w:p>
    <w:p w:rsidR="008F405F" w:rsidRDefault="008F405F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(1)Ponuda sa prijavom i traženom dokumentacijom dostavlja se u zatvorenoj koverti sa naznakom „ZA KOMISIJU ZA PROVOĐENJE JAVNOG NADMETAN</w:t>
      </w:r>
      <w:r w:rsidR="00F43D97">
        <w:rPr>
          <w:rFonts w:cs="Arial"/>
          <w:b w:val="0"/>
          <w:bCs/>
          <w:i w:val="0"/>
        </w:rPr>
        <w:t>JA-PONUDA ZA KUPOVINU NEKRETNINA</w:t>
      </w:r>
      <w:r>
        <w:rPr>
          <w:rFonts w:cs="Arial"/>
          <w:b w:val="0"/>
          <w:bCs/>
          <w:i w:val="0"/>
        </w:rPr>
        <w:t xml:space="preserve"> U VLASNIŠTVU OPĆINE KLJUČ-NE OTVARATI“ preporučenom pošiljkom putem pošte ili neposredno putem pisarnice općine Ključ.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(2)Na koverti je potrebno naznačiti tačan naziv (ako je ponuđač pravno lice), ime i prezime (ako je u pitanju fizičko lice), tačnu adresu ponuđača, te ako je pravno lice ponuđač i naznaku njegovog pečata na koverti.</w:t>
      </w:r>
    </w:p>
    <w:p w:rsidR="00257D2B" w:rsidRDefault="00257D2B" w:rsidP="00257D2B">
      <w:pPr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IX</w:t>
      </w:r>
    </w:p>
    <w:p w:rsidR="008F405F" w:rsidRDefault="008F405F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Krajnji rok z</w:t>
      </w:r>
      <w:r w:rsidR="0038777A">
        <w:rPr>
          <w:rFonts w:cs="Arial"/>
          <w:b w:val="0"/>
          <w:bCs/>
          <w:i w:val="0"/>
        </w:rPr>
        <w:t>a prijem ponuda je 08</w:t>
      </w:r>
      <w:r w:rsidR="00F43D97">
        <w:rPr>
          <w:rFonts w:cs="Arial"/>
          <w:b w:val="0"/>
          <w:bCs/>
          <w:i w:val="0"/>
        </w:rPr>
        <w:t>.07.</w:t>
      </w:r>
      <w:r w:rsidR="008F405F">
        <w:rPr>
          <w:rFonts w:cs="Arial"/>
          <w:b w:val="0"/>
          <w:bCs/>
          <w:i w:val="0"/>
        </w:rPr>
        <w:t>2022</w:t>
      </w:r>
      <w:r>
        <w:rPr>
          <w:rFonts w:cs="Arial"/>
          <w:b w:val="0"/>
          <w:bCs/>
          <w:i w:val="0"/>
        </w:rPr>
        <w:t>.godine do 15,30 sati (bez obzira na način dostavljanja–lično ili poštom).Sve ponude koji pristignu poslije ovog roka neće biti predmet razmatranja.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</w:t>
      </w:r>
    </w:p>
    <w:p w:rsidR="008F405F" w:rsidRDefault="008F405F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Ovaj Oglas će također biti objavljen na Oglasnoj ploči Općine Ključ, u programu Radio Ključa</w:t>
      </w:r>
      <w:r w:rsidR="00297004">
        <w:rPr>
          <w:rFonts w:cs="Arial"/>
          <w:b w:val="0"/>
          <w:bCs/>
          <w:i w:val="0"/>
        </w:rPr>
        <w:t>, dnevnim novinama "Oslobođenje"</w:t>
      </w:r>
      <w:r>
        <w:rPr>
          <w:rFonts w:cs="Arial"/>
          <w:b w:val="0"/>
          <w:bCs/>
          <w:i w:val="0"/>
        </w:rPr>
        <w:t xml:space="preserve"> i web stranici </w:t>
      </w:r>
      <w:hyperlink r:id="rId7" w:history="1">
        <w:r w:rsidRPr="00CA5CC5">
          <w:rPr>
            <w:rStyle w:val="Hiperveza"/>
            <w:rFonts w:cs="Arial"/>
            <w:b w:val="0"/>
            <w:bCs/>
            <w:i w:val="0"/>
          </w:rPr>
          <w:t>www.opcina-kljuc.ba</w:t>
        </w:r>
      </w:hyperlink>
      <w:r>
        <w:rPr>
          <w:rFonts w:cs="Arial"/>
          <w:b w:val="0"/>
          <w:bCs/>
          <w:i w:val="0"/>
        </w:rPr>
        <w:t>, s tim da jedini mjerodavni datum jeste dan o</w:t>
      </w:r>
      <w:r w:rsidR="00F43D97">
        <w:rPr>
          <w:rFonts w:cs="Arial"/>
          <w:b w:val="0"/>
          <w:bCs/>
          <w:i w:val="0"/>
        </w:rPr>
        <w:t>bjave u dnevnim novin</w:t>
      </w:r>
      <w:r w:rsidR="00297004">
        <w:rPr>
          <w:rFonts w:cs="Arial"/>
          <w:b w:val="0"/>
          <w:bCs/>
          <w:i w:val="0"/>
        </w:rPr>
        <w:t xml:space="preserve">ama </w:t>
      </w:r>
      <w:r w:rsidR="008F405F">
        <w:rPr>
          <w:rFonts w:cs="Arial"/>
          <w:b w:val="0"/>
          <w:bCs/>
          <w:i w:val="0"/>
        </w:rPr>
        <w:t>"</w:t>
      </w:r>
      <w:r w:rsidR="00297004">
        <w:rPr>
          <w:rFonts w:cs="Arial"/>
          <w:b w:val="0"/>
          <w:bCs/>
          <w:i w:val="0"/>
        </w:rPr>
        <w:t>Oslobođenje</w:t>
      </w:r>
      <w:r w:rsidR="0038777A">
        <w:rPr>
          <w:rFonts w:cs="Arial"/>
          <w:b w:val="0"/>
          <w:bCs/>
          <w:i w:val="0"/>
        </w:rPr>
        <w:t>" Sarajevo dana 23.06</w:t>
      </w:r>
      <w:r w:rsidR="008F405F">
        <w:rPr>
          <w:rFonts w:cs="Arial"/>
          <w:b w:val="0"/>
          <w:bCs/>
          <w:i w:val="0"/>
        </w:rPr>
        <w:t>.2022</w:t>
      </w:r>
      <w:r w:rsidR="00F43D97">
        <w:rPr>
          <w:rFonts w:cs="Arial"/>
          <w:b w:val="0"/>
          <w:bCs/>
          <w:i w:val="0"/>
        </w:rPr>
        <w:t>.godine</w:t>
      </w:r>
      <w:r>
        <w:rPr>
          <w:rFonts w:cs="Arial"/>
          <w:b w:val="0"/>
          <w:bCs/>
          <w:i w:val="0"/>
        </w:rPr>
        <w:t>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XI</w:t>
      </w:r>
    </w:p>
    <w:p w:rsidR="008F405F" w:rsidRDefault="008F405F" w:rsidP="00257D2B">
      <w:pPr>
        <w:jc w:val="center"/>
        <w:rPr>
          <w:rFonts w:cs="Arial"/>
          <w:b w:val="0"/>
          <w:bCs/>
          <w:i w:val="0"/>
        </w:rPr>
      </w:pPr>
    </w:p>
    <w:p w:rsidR="004F50F8" w:rsidRDefault="00257D2B" w:rsidP="004F50F8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(1)U slučaju da je ponuđač pravno lice (d.o.o. , d.d, d.n.o. i sl.)njihov predstavnik je dužan na prednje navedeni datum i satnicu otvaranja pristiglih pisanih ponuda predati, odnosno na uvid Komisiji dati sledeće:</w:t>
      </w:r>
    </w:p>
    <w:p w:rsidR="004F50F8" w:rsidRDefault="00257D2B" w:rsidP="004F50F8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a)Pečat pravnog lica,</w:t>
      </w:r>
    </w:p>
    <w:p w:rsidR="004F50F8" w:rsidRDefault="004F50F8" w:rsidP="004F50F8">
      <w:pPr>
        <w:jc w:val="both"/>
        <w:rPr>
          <w:rFonts w:cs="Arial"/>
          <w:b w:val="0"/>
          <w:bCs/>
          <w:i w:val="0"/>
        </w:rPr>
      </w:pPr>
    </w:p>
    <w:p w:rsidR="004F50F8" w:rsidRDefault="004F50F8" w:rsidP="004F50F8">
      <w:pPr>
        <w:jc w:val="both"/>
        <w:rPr>
          <w:rFonts w:cs="Arial"/>
          <w:b w:val="0"/>
          <w:bCs/>
          <w:i w:val="0"/>
        </w:rPr>
      </w:pPr>
    </w:p>
    <w:p w:rsidR="004F50F8" w:rsidRDefault="004F50F8" w:rsidP="004F50F8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lastRenderedPageBreak/>
        <w:t>-3-</w:t>
      </w:r>
    </w:p>
    <w:p w:rsidR="004F50F8" w:rsidRDefault="004F50F8" w:rsidP="004F50F8">
      <w:pPr>
        <w:jc w:val="center"/>
        <w:rPr>
          <w:rFonts w:cs="Arial"/>
          <w:b w:val="0"/>
          <w:bCs/>
          <w:i w:val="0"/>
        </w:rPr>
      </w:pPr>
    </w:p>
    <w:p w:rsidR="004F50F8" w:rsidRDefault="00257D2B" w:rsidP="004F50F8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b)pisano ovlaštenje za zastupanje pravnog lica u postupku prodaje predmetnih nekretnina povodom ovog Oglasa ako se radi o osobi koja nije zakonski zastupnik tog društva, s tim da punomoć mora biti sačinjena u formi notarski obrađene isprave,</w:t>
      </w:r>
    </w:p>
    <w:p w:rsidR="00257D2B" w:rsidRDefault="00257D2B" w:rsidP="004F50F8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c)ako pravno lice zastupa u postupku prodaje predmetnih nekretnina njen zakonski zastupnik ili eventualno vlasnik, dužan je pored pečata pravnog lica ponijeti i predati odgovarajući dokument iz kojeg je vidljivo njegovo prednje navedeno svojstvo u originalu ili ovjerenoj kopiji,</w:t>
      </w:r>
    </w:p>
    <w:p w:rsidR="007B0BB3" w:rsidRDefault="00257D2B" w:rsidP="00FC4D50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d)odgovarajući dokument radi utvrđivanja identiteta zastupnika tj. predstavnika pravnog lica.</w:t>
      </w:r>
      <w:r w:rsidR="00FC4D50" w:rsidRPr="00FC4D50">
        <w:rPr>
          <w:rFonts w:cs="Arial"/>
          <w:b w:val="0"/>
          <w:bCs/>
          <w:i w:val="0"/>
        </w:rPr>
        <w:t xml:space="preserve"> </w:t>
      </w:r>
    </w:p>
    <w:p w:rsidR="007B0BB3" w:rsidRDefault="007B0BB3" w:rsidP="007B0BB3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(2)U slučaju da je ponuđač fizičko lice potrebno je da na zakazani datum otvaranja pristiglih pisanih ponuda preda na uvid Komisiji dokument koje se utvrđuje identitet tog lica.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(3)Ponuđači mogu biti fizičke i pravne osobe, s tim da strana fizička i pravna lica kao ponuđači moraju uz svoju ponudu dostaviti odgovarajuće dokaze o ispunjenju uslova po osnovu reciprociteta između država pri sticanju prava vlasništva.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XII</w:t>
      </w:r>
    </w:p>
    <w:p w:rsidR="004F50F8" w:rsidRDefault="004F50F8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(1)Ponuda mora sadržavati:</w:t>
      </w:r>
    </w:p>
    <w:p w:rsidR="00257D2B" w:rsidRDefault="00257D2B" w:rsidP="00257D2B">
      <w:pPr>
        <w:ind w:firstLine="720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a) pismenu prijavu potpisanu od strane podnosioca (ukoliko je ponuđač pravno lice mora biti i ovjerena pečatom pravnog lica) sa tačnim i preciznim podacima o ponuđaču, tačnom i potpunom adresom sjedišta, kontakt broj telefona, oznaka podataka o nekretnini, te broj računa za slučaj vraćanja uplaćene kapare,</w:t>
      </w:r>
    </w:p>
    <w:p w:rsidR="00257D2B" w:rsidRDefault="00257D2B" w:rsidP="00257D2B">
      <w:pPr>
        <w:ind w:firstLine="720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b)ovjerenu kopiju lične karte, a strana fizička i pravna lica pored ovog dokumenta svoje države moraju dostaviti i odgovarajući dokaz o ispunjavanju uslova po osnovu reciprociteta između države Bosne i Hercegovine i njegove države,</w:t>
      </w:r>
    </w:p>
    <w:p w:rsidR="00257D2B" w:rsidRDefault="00257D2B" w:rsidP="00257D2B">
      <w:pPr>
        <w:ind w:firstLine="720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c)ovjerenu kopiju ili original rješenja o registraciji društva (za pravna lica),</w:t>
      </w:r>
    </w:p>
    <w:p w:rsidR="00257D2B" w:rsidRDefault="00257D2B" w:rsidP="00257D2B">
      <w:pPr>
        <w:ind w:firstLine="720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d)dokaz o uplaćenoj kapari,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(2)Pripadajući iznos kapare iz prethodne tačke treba biti uplaćen na transakcijski račun općine Ključ broj:1994400055683041, koji je otvoren kod Sparkasse bank D.D. Sarajevo-Poslovnica Ključ, svrha uplate: kapara za učešće na oglasu o licitaciji za prodaju nekretnina u vlasništvu općine Ključ.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(3)Komisija zadržava pravo da dostavljenu dokumentaciju ne vraća ponuđaču.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XIII</w:t>
      </w:r>
    </w:p>
    <w:p w:rsidR="00606F2A" w:rsidRDefault="00606F2A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Sve poreze, troškove prenosa, uknjižbe, eventualnih zabilježbi i uvođenja u posjed predmetnih nekretnina snosi kupac u cijelosti.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XIV</w:t>
      </w:r>
    </w:p>
    <w:p w:rsidR="00606F2A" w:rsidRDefault="00606F2A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(1)Kriterij za izbor najpovoljnijeg ponuđača je najviša ponuđena cijena koja ne može niti u jednom slučaju biti manja od početne prodajne cijene naznačene u ovom oglasu.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(2)Ponuđačima koji ne steknu status kupca-najpovoljnijeg ponuđača uplaćena kapara biti će vraćena u roku od 30 (trideset) dana od datuma okončanja javne prodaje.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(3)Ako se ugovor o prodaji nekretnina iz tačke I ovog Oglasa zaključi sa subjektom koji je ranije bio u zakupu ili drugom pravnom odnosu sa Općinom Ključ u pogledu raspolaganja i korištenja sa navedenim nekretninama, općina Ključ će ispoštovati odredbe ranije zaključenih ugovora o takvim odnosima.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XV</w:t>
      </w:r>
    </w:p>
    <w:p w:rsidR="00606F2A" w:rsidRDefault="00606F2A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(1)Prije otvaranja zatvorenih pismenih ponuda predsjednik komisije upoznaje učesnike sa načinom i postupkom licitacije.</w:t>
      </w:r>
    </w:p>
    <w:p w:rsidR="00606F2A" w:rsidRDefault="00606F2A" w:rsidP="00606F2A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lastRenderedPageBreak/>
        <w:t>-4-</w:t>
      </w:r>
    </w:p>
    <w:p w:rsidR="00606F2A" w:rsidRDefault="00606F2A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(2)Licitacija se može održati samo ako u njoj učestvuje najmanje dva učesnika izuzev ako drugačije ovim oglasom nije određeno.</w:t>
      </w:r>
    </w:p>
    <w:p w:rsidR="00257D2B" w:rsidRDefault="00257D2B" w:rsidP="00257D2B">
      <w:pPr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(3)Učesnici u licitaciji ne mogu ponuditi manju cijenu od one naznačene u svojoj ponudi.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(4)Ako se na licitaciji javi samo jedan učesnik Komisija može pristupiti postupku prodaje pod uslovom da ta cijena ne može biti identična početnoj cijeni objavljenoj u ovom Oglasu.Komisija će tog učesnika pozvati da ponudi veću cijenu od početne, te ukoliko ne ponudi veću cijenu od početne, licitacija za tu nekretninu se smatra neuspjelom, a to lice gubi pravo na povrat uplaćene kapare.</w:t>
      </w:r>
    </w:p>
    <w:p w:rsidR="005E193B" w:rsidRDefault="00257D2B" w:rsidP="00606F2A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(5)Ukoliko u postupku licitacije učestvuju dva i više lica, Komisija će ih pozvati da ukoliko žele izvrše povećanje cijene davanjem veće ponude.Ukoliko ponuđači ne žele povećati cijenu kroz davanje veće ponude,</w:t>
      </w:r>
      <w:r w:rsidR="005E193B" w:rsidRPr="005E193B">
        <w:rPr>
          <w:rFonts w:cs="Arial"/>
          <w:b w:val="0"/>
          <w:bCs/>
          <w:i w:val="0"/>
        </w:rPr>
        <w:t xml:space="preserve"> 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 xml:space="preserve"> Komisija će proglasiti ponuđača koji je dao u svojoj ponudi višu cijenu kupcem, a za slučaj da su ponuđene cijene identične, Komisija će ponuđača koji je ranije dostavio ponudu po vremenu i datumu prijemnog štambilja proglasiti kupcem.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XVI</w:t>
      </w:r>
    </w:p>
    <w:p w:rsidR="00606F2A" w:rsidRDefault="00606F2A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(1)Ukoliko niko od lica (lično ili putem zakonskog zastupnika, punomoćnika) koja su dostavila ponudu nije prisutan na dan licitacije, licitacija će se proglasiti neuspjelom, a lica koja su učinila ponudu gube pravo na povrat uplaćenog iznosa kapare.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(2)Licitacija traje sve dok se daju veće ponude.Učesnicima u licitaciji, na njihov zahtjev, može se dozvoliti kraći rok za razmišljanje o daljim ponudama.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(3)Licitacija se zaključuje ako i poslije drugog poziva nije u roku od 5 (pet) minuta dana veća ponuda.Prije zaključenja licitacije predsjednik Komisije još jednom ponavlja posljednju ponudu, a zatim objavljuje da je licitacija zaključena.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(4)Poslije zaključenja licitacije predsjednik Komisije upoznaje učesnike licitacije da mogu odmah na zapisnik uložiti prigovore na sprovedeni postupak licitacije, te da poslije zaključenja licitacije učesnici ne mogu ulagati prigovore.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(5)O prigovoru odlučuje Komisija.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XVII</w:t>
      </w:r>
    </w:p>
    <w:p w:rsidR="00606F2A" w:rsidRDefault="00606F2A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(1)Ponuđaču koje ne bude proglašen kao najpovoljniji uplaćena kapara će se vratiti u roku od 30 (trideset) radnih dana od dana provedenog postupka licitacije.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(2)Kupac je dužan kupoprodajnu cijenu u cijelosti platiti prodavcu najkasnije u roku od 7 (sedam) dana od datuma kada ga prodavac pismenim putem pozove da to učini, s tim da se iznos uplaćene kapare uračunava u postignutu prodajnu cijenu.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(3)S najpovoljnijim ponuđačem kao kupcem kupoprodajni ugovor će se zaključiti u roku do 30 (trideset) dana od datuma održavanja licitacije.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(4)Svi ostali detalji kupoprodaje i međusobnim prava i obaveza regulirat će se Ugovorom o kupoprodaji.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(5)Ako najpovoljniji ponuđač ne uplati preostalu prodajnu cijenu u cijelosti u roku od 7 (sedam) dana od dana kada ga prodavac pozove da to učini, smatra se da je odustao od kupovine, te gubi pravo na povrat uplaćenog iznosa kapare i prodaja će se smatrati neuspjelom.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XVIII</w:t>
      </w:r>
    </w:p>
    <w:p w:rsidR="00384C01" w:rsidRDefault="00384C01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Lica koja dostave svoju ponudu (jave se u ulozi ponuđača) potvrđuju da su prije dostave ponude upoznati sa svim eventualnim teretima,  manama ili drugim nedostacima koji postoje na istom i da ga kao takvog žele i hoće kupiti, te se odriču bilo kakvih daljnjih prigovora po tom ili sličnom pravnom osnovu i činjeničnom stanju.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384C01" w:rsidRDefault="00384C01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lastRenderedPageBreak/>
        <w:t>-5-</w:t>
      </w:r>
    </w:p>
    <w:p w:rsidR="00384C01" w:rsidRDefault="00384C01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XIX</w:t>
      </w:r>
    </w:p>
    <w:p w:rsidR="00384C01" w:rsidRDefault="00384C01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Općinski načelnik općine Ključ zadržava pravo poni</w:t>
      </w:r>
      <w:r w:rsidR="006826B0">
        <w:rPr>
          <w:rFonts w:cs="Arial"/>
          <w:b w:val="0"/>
          <w:bCs/>
          <w:i w:val="0"/>
        </w:rPr>
        <w:t>štenja, izmjene i dopune ovog og</w:t>
      </w:r>
      <w:r>
        <w:rPr>
          <w:rFonts w:cs="Arial"/>
          <w:b w:val="0"/>
          <w:bCs/>
          <w:i w:val="0"/>
        </w:rPr>
        <w:t>lasa u bilo kojoj njegovoj fazi čak i tokom postupka licitacije i nisu obavezni prihvatiti niti jednu pristiglu ponudu bez obaveze da navode bilo kakvo obrazloženje za takvu svoju odluku.</w:t>
      </w:r>
    </w:p>
    <w:p w:rsidR="00257D2B" w:rsidRDefault="00257D2B" w:rsidP="00257D2B">
      <w:pPr>
        <w:jc w:val="both"/>
        <w:rPr>
          <w:rFonts w:cs="Arial"/>
          <w:b w:val="0"/>
          <w:bCs/>
          <w:i w:val="0"/>
        </w:rPr>
      </w:pPr>
    </w:p>
    <w:p w:rsidR="00257D2B" w:rsidRDefault="00257D2B" w:rsidP="00257D2B">
      <w:pPr>
        <w:jc w:val="center"/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XX</w:t>
      </w:r>
    </w:p>
    <w:p w:rsidR="00384C01" w:rsidRDefault="00384C01" w:rsidP="00257D2B">
      <w:pPr>
        <w:jc w:val="center"/>
        <w:rPr>
          <w:rFonts w:cs="Arial"/>
          <w:b w:val="0"/>
          <w:bCs/>
          <w:i w:val="0"/>
        </w:rPr>
      </w:pPr>
    </w:p>
    <w:p w:rsidR="00257D2B" w:rsidRDefault="00257D2B" w:rsidP="00257D2B">
      <w:pPr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>Nepotpune, neblagovremene i neuredne prijave neće se uzimati u razmatranje.</w:t>
      </w:r>
    </w:p>
    <w:p w:rsidR="00257D2B" w:rsidRDefault="00257D2B" w:rsidP="00257D2B">
      <w:pPr>
        <w:rPr>
          <w:rFonts w:cs="Arial"/>
          <w:b w:val="0"/>
          <w:bCs/>
          <w:i w:val="0"/>
        </w:rPr>
      </w:pPr>
    </w:p>
    <w:p w:rsidR="00384C01" w:rsidRDefault="00384C01" w:rsidP="00257D2B">
      <w:pPr>
        <w:rPr>
          <w:rFonts w:cs="Arial"/>
          <w:b w:val="0"/>
          <w:bCs/>
          <w:i w:val="0"/>
        </w:rPr>
      </w:pPr>
    </w:p>
    <w:p w:rsidR="00384C01" w:rsidRDefault="00384C01" w:rsidP="00257D2B">
      <w:pPr>
        <w:rPr>
          <w:rFonts w:cs="Arial"/>
          <w:b w:val="0"/>
          <w:bCs/>
          <w:i w:val="0"/>
        </w:rPr>
      </w:pPr>
    </w:p>
    <w:p w:rsidR="00257D2B" w:rsidRDefault="00257D2B" w:rsidP="00257D2B">
      <w:pPr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  <w:t xml:space="preserve">    Općinski načelnik</w:t>
      </w:r>
    </w:p>
    <w:p w:rsidR="009F16E1" w:rsidRPr="00257D2B" w:rsidRDefault="00257D2B">
      <w:pPr>
        <w:rPr>
          <w:rFonts w:cs="Arial"/>
          <w:b w:val="0"/>
          <w:bCs/>
          <w:i w:val="0"/>
        </w:rPr>
      </w:pP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</w:r>
      <w:r>
        <w:rPr>
          <w:rFonts w:cs="Arial"/>
          <w:b w:val="0"/>
          <w:bCs/>
          <w:i w:val="0"/>
        </w:rPr>
        <w:tab/>
        <w:t>Nedžad Zukanović, prof.</w:t>
      </w:r>
    </w:p>
    <w:sectPr w:rsidR="009F16E1" w:rsidRPr="00257D2B" w:rsidSect="009F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69" w:rsidRDefault="00044969" w:rsidP="004F50F8">
      <w:r>
        <w:separator/>
      </w:r>
    </w:p>
  </w:endnote>
  <w:endnote w:type="continuationSeparator" w:id="1">
    <w:p w:rsidR="00044969" w:rsidRDefault="00044969" w:rsidP="004F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69" w:rsidRDefault="00044969" w:rsidP="004F50F8">
      <w:r>
        <w:separator/>
      </w:r>
    </w:p>
  </w:footnote>
  <w:footnote w:type="continuationSeparator" w:id="1">
    <w:p w:rsidR="00044969" w:rsidRDefault="00044969" w:rsidP="004F5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2B"/>
    <w:rsid w:val="00044969"/>
    <w:rsid w:val="00257D2B"/>
    <w:rsid w:val="00297004"/>
    <w:rsid w:val="002C1101"/>
    <w:rsid w:val="00384C01"/>
    <w:rsid w:val="0038777A"/>
    <w:rsid w:val="003969D7"/>
    <w:rsid w:val="003C7050"/>
    <w:rsid w:val="004F50F8"/>
    <w:rsid w:val="005365AC"/>
    <w:rsid w:val="005E193B"/>
    <w:rsid w:val="00606F2A"/>
    <w:rsid w:val="006826B0"/>
    <w:rsid w:val="007B0BB3"/>
    <w:rsid w:val="00801D0B"/>
    <w:rsid w:val="00811BB4"/>
    <w:rsid w:val="00827784"/>
    <w:rsid w:val="008E7A00"/>
    <w:rsid w:val="008F405F"/>
    <w:rsid w:val="009F16E1"/>
    <w:rsid w:val="00A0203E"/>
    <w:rsid w:val="00CC7D11"/>
    <w:rsid w:val="00F43D97"/>
    <w:rsid w:val="00FC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57D2B"/>
    <w:pPr>
      <w:spacing w:after="0" w:line="240" w:lineRule="auto"/>
    </w:pPr>
    <w:rPr>
      <w:rFonts w:ascii="Arial" w:eastAsia="Times New Roman" w:hAnsi="Arial" w:cs="Times New Roman"/>
      <w:b/>
      <w:i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rsid w:val="00257D2B"/>
    <w:rPr>
      <w:color w:val="0000FF"/>
      <w:u w:val="single"/>
    </w:rPr>
  </w:style>
  <w:style w:type="paragraph" w:styleId="Zaglavlje">
    <w:name w:val="header"/>
    <w:basedOn w:val="Normalno"/>
    <w:link w:val="ZaglavljeZnak"/>
    <w:uiPriority w:val="99"/>
    <w:semiHidden/>
    <w:unhideWhenUsed/>
    <w:rsid w:val="004F50F8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semiHidden/>
    <w:rsid w:val="004F50F8"/>
    <w:rPr>
      <w:rFonts w:ascii="Arial" w:eastAsia="Times New Roman" w:hAnsi="Arial" w:cs="Times New Roman"/>
      <w:b/>
      <w:i/>
      <w:lang w:val="hr-HR" w:eastAsia="hr-HR"/>
    </w:rPr>
  </w:style>
  <w:style w:type="paragraph" w:styleId="Podnoje">
    <w:name w:val="footer"/>
    <w:basedOn w:val="Normalno"/>
    <w:link w:val="PodnojeZnak"/>
    <w:uiPriority w:val="99"/>
    <w:semiHidden/>
    <w:unhideWhenUsed/>
    <w:rsid w:val="004F50F8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4F50F8"/>
    <w:rPr>
      <w:rFonts w:ascii="Arial" w:eastAsia="Times New Roman" w:hAnsi="Arial" w:cs="Times New Roman"/>
      <w:b/>
      <w:i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kljuc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26D5-E58A-4085-87F3-F03D5C21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Ključ</dc:creator>
  <cp:lastModifiedBy>hej</cp:lastModifiedBy>
  <cp:revision>3</cp:revision>
  <cp:lastPrinted>2020-06-11T09:41:00Z</cp:lastPrinted>
  <dcterms:created xsi:type="dcterms:W3CDTF">2022-06-21T06:36:00Z</dcterms:created>
  <dcterms:modified xsi:type="dcterms:W3CDTF">2022-06-21T09:14:00Z</dcterms:modified>
</cp:coreProperties>
</file>